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40760C63" w:rsidR="00AE0313" w:rsidRPr="00A20476" w:rsidRDefault="00C143A7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C06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414B5B" w:rsidRPr="00414B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20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поставку компьютерной техники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6571DDCB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</w:t>
      </w:r>
      <w:r w:rsidR="00F2163A">
        <w:t>один этап</w:t>
      </w:r>
      <w:r w:rsidRPr="00CA100F">
        <w:t xml:space="preserve"> от имени и силами </w:t>
      </w:r>
      <w:r w:rsidR="0030406E" w:rsidRPr="00CA100F">
        <w:t>ЕОПЦ.</w:t>
      </w:r>
    </w:p>
    <w:p w14:paraId="73379BD8" w14:textId="11A8574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025E17" w:rsidRPr="005B2544">
          <w:rPr>
            <w:rStyle w:val="af7"/>
            <w:lang w:val="en-US"/>
          </w:rPr>
          <w:t>Viktoriya</w:t>
        </w:r>
        <w:r w:rsidR="00025E17" w:rsidRPr="00A15EB2">
          <w:rPr>
            <w:rStyle w:val="af7"/>
          </w:rPr>
          <w:t>.</w:t>
        </w:r>
        <w:r w:rsidR="00025E17" w:rsidRPr="005B2544">
          <w:rPr>
            <w:rStyle w:val="af7"/>
            <w:lang w:val="en-US"/>
          </w:rPr>
          <w:t>lavrenko</w:t>
        </w:r>
        <w:r w:rsidR="00025E17" w:rsidRPr="00A15EB2">
          <w:rPr>
            <w:rStyle w:val="af7"/>
          </w:rPr>
          <w:t>@</w:t>
        </w:r>
        <w:r w:rsidR="00025E17" w:rsidRPr="005B2544">
          <w:rPr>
            <w:rStyle w:val="af7"/>
            <w:lang w:val="en-US"/>
          </w:rPr>
          <w:t>uzcard</w:t>
        </w:r>
        <w:r w:rsidR="00025E17" w:rsidRPr="00A15EB2">
          <w:rPr>
            <w:rStyle w:val="af7"/>
          </w:rPr>
          <w:t>.</w:t>
        </w:r>
        <w:r w:rsidR="00025E17" w:rsidRPr="005B2544">
          <w:rPr>
            <w:rStyle w:val="af7"/>
            <w:lang w:val="en-US"/>
          </w:rPr>
          <w:t>uz</w:t>
        </w:r>
      </w:hyperlink>
      <w:r w:rsidR="00F65830" w:rsidRPr="00F65830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428BBADB" w14:textId="62CE23D0" w:rsidR="00B91258" w:rsidRPr="00CA100F" w:rsidRDefault="00B91258" w:rsidP="00C06A85"/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r w:rsidRPr="00CA100F">
        <w:rPr>
          <w:b/>
        </w:rPr>
        <w:t>Этапы проведения тендера</w:t>
      </w:r>
    </w:p>
    <w:p w14:paraId="5CD07222" w14:textId="084CBE71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A20476">
        <w:t>0</w:t>
      </w:r>
      <w:r w:rsidR="00BF5D72">
        <w:rPr>
          <w:lang w:val="en-US"/>
        </w:rPr>
        <w:t>4</w:t>
      </w:r>
      <w:r w:rsidR="00031B77" w:rsidRPr="0052316B">
        <w:t>.</w:t>
      </w:r>
      <w:r w:rsidR="00F20995" w:rsidRPr="0052316B">
        <w:t>0</w:t>
      </w:r>
      <w:r w:rsidR="00F2163A">
        <w:rPr>
          <w:lang w:val="en-US"/>
        </w:rPr>
        <w:t>7</w:t>
      </w:r>
      <w:r w:rsidR="00031B77" w:rsidRPr="0052316B">
        <w:t>.</w:t>
      </w:r>
      <w:r w:rsidR="00485D4E" w:rsidRPr="0052316B">
        <w:t>202</w:t>
      </w:r>
      <w:r w:rsidR="00025311" w:rsidRPr="0052316B">
        <w:t>4</w:t>
      </w:r>
      <w:r w:rsidR="00C06A85" w:rsidRPr="000355B1">
        <w:t>.</w:t>
      </w:r>
    </w:p>
    <w:p w14:paraId="41E3A7F9" w14:textId="02EBBA02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9958D2">
        <w:t>0</w:t>
      </w:r>
      <w:r w:rsidR="00BF5D72" w:rsidRPr="00BF5D72">
        <w:t>8</w:t>
      </w:r>
      <w:r>
        <w:t>.</w:t>
      </w:r>
      <w:r w:rsidR="00025311">
        <w:t>0</w:t>
      </w:r>
      <w:r w:rsidR="00F2163A" w:rsidRPr="00F2163A">
        <w:t>7</w:t>
      </w:r>
      <w:r w:rsidR="00025311">
        <w:t>.</w:t>
      </w:r>
      <w:r>
        <w:t>202</w:t>
      </w:r>
      <w:r w:rsidR="00025311">
        <w:t>4</w:t>
      </w:r>
      <w:r>
        <w:t xml:space="preserve">. Предоставление ответов до </w:t>
      </w:r>
      <w:r w:rsidR="00BF5D72">
        <w:rPr>
          <w:lang w:val="en-US"/>
        </w:rPr>
        <w:t>10</w:t>
      </w:r>
      <w:r>
        <w:t>.</w:t>
      </w:r>
      <w:r w:rsidR="00025311">
        <w:t>0</w:t>
      </w:r>
      <w:r w:rsidR="00F2163A" w:rsidRPr="00BF5D72">
        <w:t>7</w:t>
      </w:r>
      <w:r>
        <w:t>.202</w:t>
      </w:r>
      <w:r w:rsidR="00025311">
        <w:t>4</w:t>
      </w:r>
    </w:p>
    <w:p w14:paraId="58D5EAD0" w14:textId="55248E28" w:rsidR="00F2163A" w:rsidRPr="000355B1" w:rsidRDefault="0030406E" w:rsidP="00F2163A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F2163A">
        <w:t xml:space="preserve">в запаролированном архиве </w:t>
      </w:r>
      <w:r w:rsidR="002C5469">
        <w:t xml:space="preserve">до </w:t>
      </w:r>
      <w:r w:rsidR="00025311">
        <w:t>1</w:t>
      </w:r>
      <w:r w:rsidR="00BF5D72" w:rsidRPr="00BF5D72">
        <w:t>2</w:t>
      </w:r>
      <w:r w:rsidR="002C5469">
        <w:t>.</w:t>
      </w:r>
      <w:r w:rsidR="00025311">
        <w:t>0</w:t>
      </w:r>
      <w:r w:rsidR="00F2163A" w:rsidRPr="00F2163A">
        <w:t>7</w:t>
      </w:r>
      <w:r w:rsidR="002C5469">
        <w:t>.202</w:t>
      </w:r>
      <w:r w:rsidR="00025311">
        <w:t>4</w:t>
      </w:r>
      <w:r w:rsidR="002C5469">
        <w:t xml:space="preserve"> 1</w:t>
      </w:r>
      <w:r w:rsidR="00BF5D72" w:rsidRPr="00BF5D72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  <w:r w:rsidR="00F2163A">
        <w:t xml:space="preserve">Архив направляется на почту </w:t>
      </w:r>
      <w:hyperlink r:id="rId9" w:history="1">
        <w:r w:rsidR="00F2163A" w:rsidRPr="005B2544">
          <w:rPr>
            <w:rStyle w:val="af7"/>
            <w:lang w:val="en-US"/>
          </w:rPr>
          <w:t>Viktoriya</w:t>
        </w:r>
        <w:r w:rsidR="00F2163A" w:rsidRPr="00A15EB2">
          <w:rPr>
            <w:rStyle w:val="af7"/>
          </w:rPr>
          <w:t>.</w:t>
        </w:r>
        <w:r w:rsidR="00F2163A" w:rsidRPr="005B2544">
          <w:rPr>
            <w:rStyle w:val="af7"/>
            <w:lang w:val="en-US"/>
          </w:rPr>
          <w:t>lavrenko</w:t>
        </w:r>
        <w:r w:rsidR="00F2163A" w:rsidRPr="00A15EB2">
          <w:rPr>
            <w:rStyle w:val="af7"/>
          </w:rPr>
          <w:t>@</w:t>
        </w:r>
        <w:r w:rsidR="00F2163A" w:rsidRPr="005B2544">
          <w:rPr>
            <w:rStyle w:val="af7"/>
            <w:lang w:val="en-US"/>
          </w:rPr>
          <w:t>uzcard</w:t>
        </w:r>
        <w:r w:rsidR="00F2163A" w:rsidRPr="00A15EB2">
          <w:rPr>
            <w:rStyle w:val="af7"/>
          </w:rPr>
          <w:t>.</w:t>
        </w:r>
        <w:r w:rsidR="00F2163A" w:rsidRPr="005B2544">
          <w:rPr>
            <w:rStyle w:val="af7"/>
            <w:lang w:val="en-US"/>
          </w:rPr>
          <w:t>uz</w:t>
        </w:r>
      </w:hyperlink>
      <w:r w:rsidR="00F2163A" w:rsidRPr="00A15EB2">
        <w:t xml:space="preserve">, </w:t>
      </w:r>
      <w:r w:rsidR="00F2163A">
        <w:t xml:space="preserve">пароль на почту </w:t>
      </w:r>
      <w:hyperlink r:id="rId10" w:history="1">
        <w:r w:rsidR="00F2163A" w:rsidRPr="005B2544">
          <w:rPr>
            <w:rStyle w:val="af7"/>
            <w:lang w:val="en-US"/>
          </w:rPr>
          <w:t>Sardor</w:t>
        </w:r>
        <w:r w:rsidR="00F2163A" w:rsidRPr="005B2544">
          <w:rPr>
            <w:rStyle w:val="af7"/>
          </w:rPr>
          <w:t>.</w:t>
        </w:r>
        <w:r w:rsidR="00F2163A" w:rsidRPr="005B2544">
          <w:rPr>
            <w:rStyle w:val="af7"/>
            <w:lang w:val="en-US"/>
          </w:rPr>
          <w:t>Aliev</w:t>
        </w:r>
        <w:r w:rsidR="00F2163A" w:rsidRPr="005B2544">
          <w:rPr>
            <w:rStyle w:val="af7"/>
          </w:rPr>
          <w:t>@</w:t>
        </w:r>
        <w:r w:rsidR="00F2163A" w:rsidRPr="005B2544">
          <w:rPr>
            <w:rStyle w:val="af7"/>
            <w:lang w:val="en-US"/>
          </w:rPr>
          <w:t>uzcard</w:t>
        </w:r>
        <w:r w:rsidR="00F2163A" w:rsidRPr="005B2544">
          <w:rPr>
            <w:rStyle w:val="af7"/>
          </w:rPr>
          <w:t>.</w:t>
        </w:r>
        <w:r w:rsidR="00F2163A" w:rsidRPr="005B2544">
          <w:rPr>
            <w:rStyle w:val="af7"/>
            <w:lang w:val="en-US"/>
          </w:rPr>
          <w:t>uz</w:t>
        </w:r>
      </w:hyperlink>
      <w:r w:rsidR="00F2163A" w:rsidRPr="00A15EB2">
        <w:t xml:space="preserve"> </w:t>
      </w:r>
      <w:r w:rsidR="00F2163A">
        <w:t>с указанием названия тендера. Дальнейший запрос скидок не предусмотрен.</w:t>
      </w:r>
    </w:p>
    <w:p w14:paraId="43B76ACD" w14:textId="219E2573" w:rsidR="0030406E" w:rsidRPr="000355B1" w:rsidRDefault="0030406E" w:rsidP="00F2163A">
      <w:pPr>
        <w:pStyle w:val="aff"/>
        <w:shd w:val="clear" w:color="auto" w:fill="FFFFFF"/>
        <w:jc w:val="both"/>
      </w:pPr>
    </w:p>
    <w:p w14:paraId="1BE17461" w14:textId="3EA016F7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F2163A">
        <w:t>2</w:t>
      </w:r>
      <w:r w:rsidR="00BA75E5" w:rsidRPr="00BA75E5">
        <w:t>4</w:t>
      </w:r>
      <w:r w:rsidR="00031B77">
        <w:t>.</w:t>
      </w:r>
      <w:r w:rsidR="00025311" w:rsidRPr="00025311">
        <w:t>0</w:t>
      </w:r>
      <w:r w:rsidR="00F2163A">
        <w:t>7</w:t>
      </w:r>
      <w:r w:rsidR="00031B77">
        <w:t>.</w:t>
      </w:r>
      <w:r w:rsidRPr="000355B1">
        <w:t>202</w:t>
      </w:r>
      <w:r w:rsidR="00025311" w:rsidRPr="00025311">
        <w:t>4</w:t>
      </w:r>
      <w:r w:rsidR="00C06A85" w:rsidRPr="000355B1">
        <w:t>.</w:t>
      </w:r>
    </w:p>
    <w:p w14:paraId="7A277E76" w14:textId="77777777" w:rsidR="0025584B" w:rsidRDefault="0025584B" w:rsidP="0025584B">
      <w:pPr>
        <w:shd w:val="clear" w:color="auto" w:fill="FFFFFF"/>
      </w:pPr>
    </w:p>
    <w:p w14:paraId="2D4AF26B" w14:textId="24EFAC8B" w:rsidR="0025584B" w:rsidRDefault="0025584B" w:rsidP="0025584B">
      <w:pPr>
        <w:shd w:val="clear" w:color="auto" w:fill="FFFFFF"/>
      </w:pPr>
      <w:r>
        <w:t>Перечень закупаемой компьютерной техники</w:t>
      </w:r>
    </w:p>
    <w:p w14:paraId="66563F48" w14:textId="1EBD4E36" w:rsidR="0025584B" w:rsidRDefault="0025584B" w:rsidP="0025584B">
      <w:pPr>
        <w:pStyle w:val="aff"/>
        <w:numPr>
          <w:ilvl w:val="0"/>
          <w:numId w:val="28"/>
        </w:numPr>
        <w:shd w:val="clear" w:color="auto" w:fill="FFFFFF"/>
      </w:pPr>
      <w:r>
        <w:t xml:space="preserve">Ноутбук </w:t>
      </w:r>
      <w:r>
        <w:tab/>
      </w:r>
      <w:r>
        <w:tab/>
      </w:r>
      <w:r>
        <w:tab/>
      </w:r>
      <w:r>
        <w:tab/>
        <w:t>40 шт.</w:t>
      </w:r>
    </w:p>
    <w:p w14:paraId="15C68CEB" w14:textId="78849315" w:rsidR="0025584B" w:rsidRDefault="0025584B" w:rsidP="0025584B">
      <w:pPr>
        <w:pStyle w:val="aff"/>
        <w:numPr>
          <w:ilvl w:val="0"/>
          <w:numId w:val="28"/>
        </w:numPr>
        <w:shd w:val="clear" w:color="auto" w:fill="FFFFFF"/>
      </w:pPr>
      <w:r>
        <w:t xml:space="preserve">Системный блок </w:t>
      </w:r>
      <w:r>
        <w:tab/>
      </w:r>
      <w:r>
        <w:tab/>
      </w:r>
      <w:r>
        <w:tab/>
        <w:t>90 шт.</w:t>
      </w:r>
    </w:p>
    <w:p w14:paraId="7D18CC17" w14:textId="1ABB909E" w:rsidR="0025584B" w:rsidRDefault="0025584B" w:rsidP="0025584B">
      <w:pPr>
        <w:pStyle w:val="aff"/>
        <w:numPr>
          <w:ilvl w:val="0"/>
          <w:numId w:val="28"/>
        </w:numPr>
        <w:shd w:val="clear" w:color="auto" w:fill="FFFFFF"/>
      </w:pPr>
      <w:r>
        <w:t xml:space="preserve">Монитор </w:t>
      </w:r>
      <w:r>
        <w:tab/>
      </w:r>
      <w:r>
        <w:tab/>
      </w:r>
      <w:r>
        <w:tab/>
      </w:r>
      <w:r>
        <w:tab/>
        <w:t>40 шт.</w:t>
      </w:r>
    </w:p>
    <w:p w14:paraId="3B5A7B74" w14:textId="3405A396" w:rsidR="0025584B" w:rsidRDefault="0025584B" w:rsidP="0025584B">
      <w:pPr>
        <w:pStyle w:val="aff"/>
        <w:numPr>
          <w:ilvl w:val="0"/>
          <w:numId w:val="28"/>
        </w:numPr>
        <w:shd w:val="clear" w:color="auto" w:fill="FFFFFF"/>
      </w:pPr>
      <w:r>
        <w:t xml:space="preserve">Клавиатура+мышь </w:t>
      </w:r>
      <w:r>
        <w:tab/>
      </w:r>
      <w:r>
        <w:tab/>
      </w:r>
      <w:r>
        <w:tab/>
        <w:t>100 компл.</w:t>
      </w:r>
    </w:p>
    <w:p w14:paraId="3B03A60C" w14:textId="576179A6" w:rsidR="0025584B" w:rsidRDefault="0025584B" w:rsidP="0025584B">
      <w:pPr>
        <w:pStyle w:val="aff"/>
        <w:numPr>
          <w:ilvl w:val="0"/>
          <w:numId w:val="28"/>
        </w:numPr>
        <w:shd w:val="clear" w:color="auto" w:fill="FFFFFF"/>
      </w:pPr>
      <w:r>
        <w:t>Клавиатура+мышь беспровод.</w:t>
      </w:r>
      <w:r>
        <w:tab/>
        <w:t xml:space="preserve">50 компл. </w:t>
      </w:r>
    </w:p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F2163A" w:rsidRPr="00BC33BC" w14:paraId="5C11218C" w14:textId="77777777" w:rsidTr="00451796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F4669C" w14:textId="77777777" w:rsidR="00F2163A" w:rsidRPr="00BC33BC" w:rsidRDefault="00F2163A" w:rsidP="004517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3" w:name="_Toc55285336"/>
            <w:bookmarkStart w:id="24" w:name="_Toc55305370"/>
            <w:bookmarkStart w:id="25" w:name="_Ref55313246"/>
            <w:bookmarkStart w:id="26" w:name="_Ref56231140"/>
            <w:bookmarkStart w:id="27" w:name="_Ref56231144"/>
            <w:bookmarkStart w:id="28" w:name="_Toc57314617"/>
            <w:bookmarkStart w:id="29" w:name="_Toc69728943"/>
            <w:bookmarkStart w:id="30" w:name="_Toc189545068"/>
            <w:bookmarkStart w:id="31" w:name="_Toc518119237"/>
            <w:bookmarkEnd w:id="15"/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F2163A" w:rsidRPr="00BC33BC" w14:paraId="46EE62EF" w14:textId="77777777" w:rsidTr="00451796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1840DE84" w14:textId="77777777" w:rsidR="00F2163A" w:rsidRPr="006B4E16" w:rsidRDefault="00F2163A" w:rsidP="004517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A51B97" w14:textId="77777777" w:rsidR="00F2163A" w:rsidRPr="00BC33BC" w:rsidRDefault="00F2163A" w:rsidP="004517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582014B8" w14:textId="77777777" w:rsidR="00F2163A" w:rsidRPr="0069753D" w:rsidRDefault="00F2163A" w:rsidP="004517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61C7BEC4" w14:textId="77777777" w:rsidR="00F2163A" w:rsidRPr="00BC33BC" w:rsidRDefault="00F2163A" w:rsidP="004517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F2163A" w:rsidRPr="00BC33BC" w14:paraId="1A09A1EA" w14:textId="77777777" w:rsidTr="00451796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2563CB9" w14:textId="77777777" w:rsidR="00F2163A" w:rsidRPr="00997AE5" w:rsidRDefault="00F2163A" w:rsidP="00451796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Тендера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01644D24" w14:textId="77777777" w:rsidR="00F2163A" w:rsidRPr="001F38DE" w:rsidRDefault="00F2163A" w:rsidP="0045179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Лавренко Виктория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7FF01FF0" w14:textId="77777777" w:rsidR="00F2163A" w:rsidRPr="00D27CA8" w:rsidRDefault="006067B3" w:rsidP="0045179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F2163A"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="00F2163A"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="00F2163A"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="00F2163A"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F2163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F216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A062D6E" w14:textId="77777777" w:rsidR="00F2163A" w:rsidRPr="00E37D64" w:rsidRDefault="00F2163A" w:rsidP="0045179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+998 93 3905900</w:t>
            </w:r>
          </w:p>
        </w:tc>
      </w:tr>
      <w:tr w:rsidR="00F2163A" w:rsidRPr="00BC33BC" w14:paraId="4BA2AB77" w14:textId="77777777" w:rsidTr="00451796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7E955663" w14:textId="77777777" w:rsidR="00F2163A" w:rsidRPr="00997AE5" w:rsidRDefault="00F2163A" w:rsidP="00451796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21FFFA3" w14:textId="7A477102" w:rsidR="00F2163A" w:rsidRPr="00E07D06" w:rsidRDefault="00F2163A" w:rsidP="00451796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Pr="001763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43F3C" w:rsidRPr="00BA75E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43F3C" w:rsidRPr="00BA75E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июля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609EEACD" w14:textId="77777777" w:rsidR="00F2163A" w:rsidRPr="00301C3D" w:rsidRDefault="00F2163A" w:rsidP="00451796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Тендерной</w:t>
            </w:r>
            <w:r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</w:p>
    <w:p w14:paraId="34A42D61" w14:textId="4A4DA03B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4CED6879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, возможно направление Участником дополнительного КП на базе альтернативного технического решения</w:t>
            </w:r>
          </w:p>
        </w:tc>
      </w:tr>
      <w:bookmarkStart w:id="32" w:name="RANGE!B16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6CCFBCF5" w:rsidR="0022654E" w:rsidRPr="0022654E" w:rsidRDefault="006067B3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7890EE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2pt;height:49.2pt" o:ole="">
                  <v:imagedata r:id="rId12" o:title=""/>
                </v:shape>
                <o:OLEObject Type="Embed" ProgID="Excel.Sheet.12" ShapeID="_x0000_i1031" DrawAspect="Icon" ObjectID="_1781590696" r:id="rId13"/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1" w:name="_MON_1773468193"/>
        <w:bookmarkEnd w:id="41"/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2BEBE029" w:rsidR="00FD5AD2" w:rsidRPr="006115DB" w:rsidRDefault="00B27476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object w:dxaOrig="1814" w:dyaOrig="1174" w14:anchorId="592F29B9">
                <v:shape id="_x0000_i1025" type="#_x0000_t75" style="width:90.6pt;height:58.8pt" o:ole="">
                  <v:imagedata r:id="rId14" o:title=""/>
                </v:shape>
                <o:OLEObject Type="Embed" ProgID="Excel.Sheet.12" ShapeID="_x0000_i1025" DrawAspect="Icon" ObjectID="_1781590697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3F805660" w:rsidR="00FD5AD2" w:rsidRPr="003B3A4C" w:rsidRDefault="006067B3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397E7445">
                <v:shape id="_x0000_i1029" type="#_x0000_t75" style="width:76.2pt;height:49.2pt" o:ole="">
                  <v:imagedata r:id="rId12" o:title=""/>
                </v:shape>
                <o:OLEObject Type="Embed" ProgID="Excel.Sheet.12" ShapeID="_x0000_i1029" DrawAspect="Icon" ObjectID="_1781590698" r:id="rId16"/>
              </w:object>
            </w:r>
          </w:p>
        </w:tc>
        <w:bookmarkStart w:id="42" w:name="_MON_1636982321"/>
        <w:bookmarkEnd w:id="42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6" type="#_x0000_t75" style="width:64.2pt;height:41.4pt" o:ole="">
                  <v:imagedata r:id="rId17" o:title=""/>
                </v:shape>
                <o:OLEObject Type="Embed" ProgID="Word.Document.12" ShapeID="_x0000_i1026" DrawAspect="Icon" ObjectID="_1781590699" r:id="rId18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Обязательное предоставление подтверждений ответов поставщика документами/ссылками и т.д.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01C3D" w:rsidRPr="006115DB" w14:paraId="13D32005" w14:textId="77777777" w:rsidTr="00C06A85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301C3D" w:rsidRPr="00FF3F33" w:rsidRDefault="00301C3D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301C3D" w:rsidRPr="00301C3D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.xls,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1F43FAC8" w14:textId="5B7F7AF7" w:rsidR="00301C3D" w:rsidRDefault="005D4BD6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>документ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с ответами Поставщика</w:t>
            </w: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в случае победы будет включен в контракт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0DF890AE" w14:textId="77777777" w:rsidR="00301C3D" w:rsidRPr="006115DB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0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3" w:name="_MON_1781449159"/>
      <w:bookmarkEnd w:id="43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073ADB84" w:rsidR="00D60F67" w:rsidRPr="00C357B5" w:rsidRDefault="00FF2BDA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7E7EAFA4">
                <v:shape id="_x0000_i1027" type="#_x0000_t75" style="width:76.8pt;height:49.8pt" o:ole="">
                  <v:imagedata r:id="rId19" o:title=""/>
                </v:shape>
                <o:OLEObject Type="Embed" ProgID="Excel.Sheet.12" ShapeID="_x0000_i1027" DrawAspect="Icon" ObjectID="_1781590700" r:id="rId20"/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 w:rsidP="00E51658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4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4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861D478" w14:textId="77777777" w:rsidR="00D60F67" w:rsidRPr="00D60F67" w:rsidRDefault="00D60F67" w:rsidP="00C06A85">
      <w:pPr>
        <w:ind w:left="720" w:firstLine="0"/>
        <w:rPr>
          <w:rFonts w:ascii="Arial" w:hAnsi="Arial" w:cs="Arial"/>
          <w:sz w:val="20"/>
          <w:szCs w:val="20"/>
        </w:rPr>
      </w:pPr>
    </w:p>
    <w:p w14:paraId="4FF3973B" w14:textId="70ECA03C" w:rsidR="00FF2BDA" w:rsidRDefault="00FF2BDA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D051C1"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>
        <w:rPr>
          <w:rFonts w:ascii="Arial" w:hAnsi="Arial" w:cs="Arial"/>
          <w:sz w:val="20"/>
          <w:szCs w:val="20"/>
        </w:rPr>
        <w:t>;</w:t>
      </w:r>
    </w:p>
    <w:p w14:paraId="3F7F5B36" w14:textId="35D538DF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4BA12BB2" w14:textId="7AF6720D" w:rsidR="00FF2BDA" w:rsidRDefault="00FF2BDA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соответствие критериям ТЗ, указанным как блок фактор.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5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6" w:name="_Toc290999596"/>
      <w:bookmarkEnd w:id="45"/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7" w:name="_Toc103860221"/>
      <w:bookmarkStart w:id="48" w:name="_Toc290999597"/>
      <w:bookmarkEnd w:id="46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7"/>
      <w:bookmarkEnd w:id="48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9" w:name="_Toc103860222"/>
      <w:bookmarkStart w:id="50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9"/>
      <w:bookmarkEnd w:id="50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1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6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5023E9">
      <w:headerReference w:type="default" r:id="rId21"/>
      <w:footerReference w:type="default" r:id="rId22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0622" w14:textId="77777777" w:rsidR="005023E9" w:rsidRDefault="005023E9">
      <w:r>
        <w:separator/>
      </w:r>
    </w:p>
  </w:endnote>
  <w:endnote w:type="continuationSeparator" w:id="0">
    <w:p w14:paraId="157B24B1" w14:textId="77777777" w:rsidR="005023E9" w:rsidRDefault="0050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AB73" w14:textId="77777777" w:rsidR="005023E9" w:rsidRDefault="005023E9">
      <w:r>
        <w:separator/>
      </w:r>
    </w:p>
  </w:footnote>
  <w:footnote w:type="continuationSeparator" w:id="0">
    <w:p w14:paraId="157C40E0" w14:textId="77777777" w:rsidR="005023E9" w:rsidRDefault="0050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13EA1"/>
    <w:multiLevelType w:val="hybridMultilevel"/>
    <w:tmpl w:val="C92A0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6"/>
  </w:num>
  <w:num w:numId="28" w16cid:durableId="120798381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20"/>
    <w:rsid w:val="00022D8B"/>
    <w:rsid w:val="000248EF"/>
    <w:rsid w:val="0002511E"/>
    <w:rsid w:val="00025311"/>
    <w:rsid w:val="00025DD4"/>
    <w:rsid w:val="00025E17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4AE3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584B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E77C0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03A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3F3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9AB"/>
    <w:rsid w:val="00416ABA"/>
    <w:rsid w:val="00417084"/>
    <w:rsid w:val="00417C5B"/>
    <w:rsid w:val="00420814"/>
    <w:rsid w:val="004210A6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20A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23E9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316B"/>
    <w:rsid w:val="00524678"/>
    <w:rsid w:val="00526817"/>
    <w:rsid w:val="00527E1E"/>
    <w:rsid w:val="00527FBA"/>
    <w:rsid w:val="00532922"/>
    <w:rsid w:val="005337E0"/>
    <w:rsid w:val="005350F8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67B3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4E5"/>
    <w:rsid w:val="00720672"/>
    <w:rsid w:val="00721062"/>
    <w:rsid w:val="0072323C"/>
    <w:rsid w:val="007244FA"/>
    <w:rsid w:val="007263EF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57E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58D2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47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208B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2C1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476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5E5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6450"/>
    <w:rsid w:val="00BE7241"/>
    <w:rsid w:val="00BF0C48"/>
    <w:rsid w:val="00BF3A83"/>
    <w:rsid w:val="00BF5D72"/>
    <w:rsid w:val="00BF6F31"/>
    <w:rsid w:val="00C00144"/>
    <w:rsid w:val="00C002D1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63A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65830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3EE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BDA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2168B47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  <w:style w:type="character" w:styleId="aff9">
    <w:name w:val="FollowedHyperlink"/>
    <w:basedOn w:val="a5"/>
    <w:semiHidden/>
    <w:unhideWhenUsed/>
    <w:rsid w:val="00995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3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ktoriya.lavrenko@uzcard.u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fontTable" Target="fontTable.xml"/><Relationship Id="rId10" Type="http://schemas.openxmlformats.org/officeDocument/2006/relationships/hyperlink" Target="mailto:Sardor.Aliev@uzcard.uz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961</Words>
  <Characters>7412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8357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10</cp:revision>
  <cp:lastPrinted>2012-10-16T11:07:00Z</cp:lastPrinted>
  <dcterms:created xsi:type="dcterms:W3CDTF">2024-07-02T11:31:00Z</dcterms:created>
  <dcterms:modified xsi:type="dcterms:W3CDTF">2024-07-04T04:31:00Z</dcterms:modified>
</cp:coreProperties>
</file>