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3188C2FD" w:rsidR="00AE0313" w:rsidRPr="00FC4B3D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выбору поставщика услуги 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азмещени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84D3C" w:rsidRPr="00E84D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наружной рекламы на LED-мониторах в г. Ташкенте и регионах.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77777777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375268" w:rsidRPr="00E760FB">
        <w:rPr>
          <w:b/>
          <w:sz w:val="20"/>
          <w:szCs w:val="20"/>
        </w:rPr>
        <w:t>Конкурсе</w:t>
      </w:r>
      <w:r w:rsidR="002C4095" w:rsidRPr="00E760FB">
        <w:rPr>
          <w:b/>
          <w:sz w:val="20"/>
          <w:szCs w:val="20"/>
        </w:rPr>
        <w:t>.</w:t>
      </w:r>
    </w:p>
    <w:p w14:paraId="5F2B8A1F" w14:textId="0C7FAA3A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375268" w:rsidRPr="00E760FB">
        <w:rPr>
          <w:sz w:val="20"/>
          <w:szCs w:val="20"/>
        </w:rPr>
        <w:t>Конкурс</w:t>
      </w:r>
      <w:r w:rsidRPr="00E760FB">
        <w:rPr>
          <w:sz w:val="20"/>
          <w:szCs w:val="20"/>
        </w:rPr>
        <w:t xml:space="preserve"> проводится в </w:t>
      </w:r>
      <w:r w:rsidR="00A61D88" w:rsidRPr="00E760FB">
        <w:rPr>
          <w:sz w:val="20"/>
          <w:szCs w:val="20"/>
        </w:rPr>
        <w:t>один</w:t>
      </w:r>
      <w:r w:rsidRPr="00E760FB">
        <w:rPr>
          <w:sz w:val="20"/>
          <w:szCs w:val="20"/>
        </w:rPr>
        <w:t xml:space="preserve"> этап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E760FB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375268" w:rsidRPr="00E760FB">
        <w:rPr>
          <w:b/>
          <w:sz w:val="20"/>
          <w:szCs w:val="20"/>
        </w:rPr>
        <w:t>конкурса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3EC89158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E84D3C" w:rsidRPr="00E84D3C">
        <w:rPr>
          <w:sz w:val="22"/>
          <w:szCs w:val="22"/>
        </w:rPr>
        <w:t xml:space="preserve"> </w:t>
      </w:r>
      <w:r w:rsidR="008E2CA5" w:rsidRPr="008E2CA5">
        <w:rPr>
          <w:b/>
          <w:bCs/>
          <w:sz w:val="22"/>
          <w:szCs w:val="22"/>
        </w:rPr>
        <w:t>3</w:t>
      </w:r>
      <w:r w:rsidR="00E84D3C" w:rsidRPr="00E84D3C">
        <w:rPr>
          <w:b/>
          <w:bCs/>
          <w:sz w:val="22"/>
          <w:szCs w:val="22"/>
        </w:rPr>
        <w:t>1</w:t>
      </w:r>
      <w:r w:rsidRPr="00E760FB">
        <w:rPr>
          <w:b/>
          <w:bCs/>
          <w:sz w:val="22"/>
          <w:szCs w:val="22"/>
        </w:rPr>
        <w:t>/0</w:t>
      </w:r>
      <w:r w:rsidR="008E2CA5" w:rsidRPr="008E2CA5">
        <w:rPr>
          <w:b/>
          <w:bCs/>
          <w:sz w:val="22"/>
          <w:szCs w:val="22"/>
        </w:rPr>
        <w:t>3</w:t>
      </w:r>
      <w:r w:rsidRPr="00E760FB">
        <w:rPr>
          <w:b/>
          <w:bCs/>
          <w:sz w:val="22"/>
          <w:szCs w:val="22"/>
        </w:rPr>
        <w:t>/2026г.</w:t>
      </w:r>
    </w:p>
    <w:p w14:paraId="7883F2B5" w14:textId="51154196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8E2CA5" w:rsidRPr="00E02985">
        <w:rPr>
          <w:b/>
          <w:bCs/>
          <w:sz w:val="22"/>
          <w:szCs w:val="22"/>
          <w:highlight w:val="green"/>
          <w:u w:val="single"/>
          <w:lang w:val="en-US"/>
        </w:rPr>
        <w:t>1</w:t>
      </w:r>
      <w:r w:rsidR="00E84D3C">
        <w:rPr>
          <w:b/>
          <w:bCs/>
          <w:sz w:val="22"/>
          <w:szCs w:val="22"/>
          <w:highlight w:val="green"/>
          <w:u w:val="single"/>
          <w:lang w:val="en-US"/>
        </w:rPr>
        <w:t>0</w:t>
      </w:r>
      <w:r w:rsidRPr="00E02985">
        <w:rPr>
          <w:b/>
          <w:bCs/>
          <w:sz w:val="22"/>
          <w:szCs w:val="22"/>
          <w:highlight w:val="green"/>
          <w:u w:val="single"/>
        </w:rPr>
        <w:t>/0</w:t>
      </w:r>
      <w:r w:rsidR="00E84D3C">
        <w:rPr>
          <w:b/>
          <w:bCs/>
          <w:sz w:val="22"/>
          <w:szCs w:val="22"/>
          <w:highlight w:val="green"/>
          <w:u w:val="single"/>
          <w:lang w:val="en-US"/>
        </w:rPr>
        <w:t>4</w:t>
      </w:r>
      <w:r w:rsidRPr="00E02985">
        <w:rPr>
          <w:b/>
          <w:bCs/>
          <w:sz w:val="22"/>
          <w:szCs w:val="22"/>
          <w:highlight w:val="green"/>
          <w:u w:val="single"/>
        </w:rPr>
        <w:t>/2026г.</w:t>
      </w:r>
    </w:p>
    <w:p w14:paraId="7903145E" w14:textId="2A878652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1</w:t>
      </w:r>
      <w:r w:rsidR="00E84D3C" w:rsidRPr="00E84D3C">
        <w:rPr>
          <w:b/>
          <w:bCs/>
          <w:sz w:val="22"/>
          <w:szCs w:val="22"/>
          <w:highlight w:val="green"/>
        </w:rPr>
        <w:t>5</w:t>
      </w:r>
      <w:r w:rsidRPr="00E02985">
        <w:rPr>
          <w:b/>
          <w:bCs/>
          <w:sz w:val="22"/>
          <w:szCs w:val="22"/>
          <w:highlight w:val="green"/>
        </w:rPr>
        <w:t>/0</w:t>
      </w:r>
      <w:r w:rsidR="00E84D3C" w:rsidRPr="00E84D3C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06315BDA" w14:textId="5F534887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E84D3C" w:rsidRPr="00E84D3C">
        <w:rPr>
          <w:b/>
          <w:bCs/>
          <w:sz w:val="22"/>
          <w:szCs w:val="22"/>
          <w:highlight w:val="green"/>
        </w:rPr>
        <w:t>17</w:t>
      </w:r>
      <w:r w:rsidRPr="00E02985">
        <w:rPr>
          <w:b/>
          <w:bCs/>
          <w:sz w:val="22"/>
          <w:szCs w:val="22"/>
          <w:highlight w:val="green"/>
        </w:rPr>
        <w:t>/0</w:t>
      </w:r>
      <w:r w:rsidR="00E84D3C" w:rsidRPr="00E84D3C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035433BB" w14:textId="2C730911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Конкурса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8E2CA5" w:rsidRPr="00E02985">
        <w:rPr>
          <w:b/>
          <w:bCs/>
          <w:sz w:val="22"/>
          <w:szCs w:val="22"/>
          <w:highlight w:val="green"/>
        </w:rPr>
        <w:t>2</w:t>
      </w:r>
      <w:r w:rsidR="00E84D3C" w:rsidRPr="00E84D3C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/0</w:t>
      </w:r>
      <w:r w:rsidR="00E84D3C" w:rsidRPr="00E84D3C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5BEEBF10" w14:textId="328DC1E5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375268" w:rsidRPr="007670EC">
        <w:rPr>
          <w:sz w:val="20"/>
          <w:szCs w:val="20"/>
        </w:rPr>
        <w:t>Конкурса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77777777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77777777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375268" w:rsidRPr="00E760FB">
        <w:rPr>
          <w:sz w:val="20"/>
          <w:szCs w:val="20"/>
        </w:rPr>
        <w:t>конкурсной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E760FB">
        <w:rPr>
          <w:sz w:val="20"/>
          <w:szCs w:val="20"/>
        </w:rPr>
        <w:t>Конкурса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E760FB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2F43DC2A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8E2CA5" w:rsidRPr="00E02985">
              <w:rPr>
                <w:b/>
                <w:sz w:val="20"/>
                <w:szCs w:val="20"/>
                <w:highlight w:val="green"/>
              </w:rPr>
              <w:t>1</w:t>
            </w:r>
            <w:r w:rsidR="00E84D3C" w:rsidRPr="00E84D3C">
              <w:rPr>
                <w:b/>
                <w:sz w:val="20"/>
                <w:szCs w:val="20"/>
                <w:highlight w:val="green"/>
              </w:rPr>
              <w:t>0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E84D3C">
              <w:rPr>
                <w:b/>
                <w:sz w:val="20"/>
                <w:szCs w:val="20"/>
                <w:highlight w:val="green"/>
              </w:rPr>
              <w:t>апреля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E760FB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</w:p>
    <w:p w14:paraId="4994545D" w14:textId="77777777" w:rsidR="00D04D78" w:rsidRPr="00E760F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6528" w:type="dxa"/>
        <w:tblInd w:w="-5" w:type="dxa"/>
        <w:tblLook w:val="04A0" w:firstRow="1" w:lastRow="0" w:firstColumn="1" w:lastColumn="0" w:noHBand="0" w:noVBand="1"/>
      </w:tblPr>
      <w:tblGrid>
        <w:gridCol w:w="2951"/>
        <w:gridCol w:w="3577"/>
      </w:tblGrid>
      <w:tr w:rsidR="00E84D3C" w:rsidRPr="00E760FB" w14:paraId="7E3B03A0" w14:textId="33E9FE78" w:rsidTr="00E84D3C">
        <w:trPr>
          <w:trHeight w:val="57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84D3C" w:rsidRPr="00E760FB" w:rsidRDefault="00E84D3C" w:rsidP="00E84D3C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3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70E" w14:textId="51704A18" w:rsidR="00E84D3C" w:rsidRPr="00E84D3C" w:rsidRDefault="00E84D3C" w:rsidP="00E84D3C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Локации </w:t>
            </w:r>
            <w:r w:rsidRPr="00E84D3C">
              <w:rPr>
                <w:b/>
                <w:bCs/>
                <w:color w:val="EE0000"/>
                <w:sz w:val="20"/>
                <w:szCs w:val="20"/>
              </w:rPr>
              <w:t xml:space="preserve">(нужно заполнить) </w:t>
            </w:r>
          </w:p>
        </w:tc>
      </w:tr>
      <w:tr w:rsidR="00E84D3C" w:rsidRPr="00E760FB" w14:paraId="63B5ED6B" w14:textId="0B1F662D" w:rsidTr="00E84D3C">
        <w:trPr>
          <w:trHeight w:val="72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266D709C" w:rsidR="00E84D3C" w:rsidRPr="00E760FB" w:rsidRDefault="00E84D3C" w:rsidP="00E84D3C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bookmarkStart w:id="38" w:name="RANGE!B16"/>
            <w:r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  <w:r>
              <w:object w:dxaOrig="1541" w:dyaOrig="998" w14:anchorId="0605C5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2" o:title=""/>
                </v:shape>
                <o:OLEObject Type="Embed" ProgID="Excel.Sheet.12" ShapeID="_x0000_i1025" DrawAspect="Icon" ObjectID="_1836381115" r:id="rId13"/>
              </w:object>
            </w:r>
          </w:p>
        </w:tc>
        <w:bookmarkStart w:id="39" w:name="_MON_1836380585"/>
        <w:bookmarkEnd w:id="39"/>
        <w:tc>
          <w:tcPr>
            <w:tcW w:w="3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7C4" w14:textId="02B1220B" w:rsidR="00E84D3C" w:rsidRPr="00E84D3C" w:rsidRDefault="005D62D9" w:rsidP="00E84D3C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object w:dxaOrig="1541" w:dyaOrig="998" w14:anchorId="2F88EB27">
                <v:shape id="_x0000_i1036" type="#_x0000_t75" style="width:77.25pt;height:50.25pt" o:ole="">
                  <v:imagedata r:id="rId14" o:title=""/>
                </v:shape>
                <o:OLEObject Type="Embed" ProgID="Excel.Sheet.12" ShapeID="_x0000_i1036" DrawAspect="Icon" ObjectID="_1836381116" r:id="rId15"/>
              </w:object>
            </w:r>
            <w:r w:rsidR="00E84D3C" w:rsidRPr="00E84D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81A747D" w14:textId="00EEA05C" w:rsidR="00AE0D0A" w:rsidRPr="00E760FB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760FB">
        <w:rPr>
          <w:rFonts w:ascii="Times New Roman" w:hAnsi="Times New Roman"/>
          <w:sz w:val="20"/>
          <w:szCs w:val="20"/>
          <w:u w:val="single"/>
        </w:rPr>
        <w:lastRenderedPageBreak/>
        <w:t xml:space="preserve">3.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07A48CBB" w14:textId="77777777" w:rsidR="003606D5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  <w:p w14:paraId="31283FDC" w14:textId="4EB7A957" w:rsidR="00454116" w:rsidRPr="00E760FB" w:rsidRDefault="00454116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454116">
              <w:rPr>
                <w:color w:val="EE0000"/>
              </w:rPr>
              <w:t>Нужно заполнить</w:t>
            </w:r>
          </w:p>
        </w:tc>
        <w:tc>
          <w:tcPr>
            <w:tcW w:w="2552" w:type="dxa"/>
            <w:vAlign w:val="center"/>
          </w:tcPr>
          <w:p w14:paraId="453732CC" w14:textId="77777777" w:rsidR="003606D5" w:rsidRDefault="003606D5" w:rsidP="003606D5">
            <w:pPr>
              <w:ind w:firstLine="0"/>
              <w:jc w:val="center"/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  <w:p w14:paraId="174AB604" w14:textId="1754ADB5" w:rsidR="00454116" w:rsidRPr="00E760FB" w:rsidRDefault="00454116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454116">
              <w:rPr>
                <w:color w:val="EE0000"/>
              </w:rPr>
              <w:t>Нужно заполнить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bookmarkStart w:id="41" w:name="_MON_1836380677"/>
          <w:bookmarkEnd w:id="41"/>
          <w:p w14:paraId="164F58F6" w14:textId="448DBE25" w:rsidR="003606D5" w:rsidRPr="00E760FB" w:rsidRDefault="005D62D9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0C0F5EEC">
                <v:shape id="_x0000_i1032" type="#_x0000_t75" style="width:77.25pt;height:50.25pt" o:ole="">
                  <v:imagedata r:id="rId16" o:title=""/>
                </v:shape>
                <o:OLEObject Type="Embed" ProgID="Excel.Sheet.12" ShapeID="_x0000_i1032" DrawAspect="Icon" ObjectID="_1836381117" r:id="rId17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p w14:paraId="0E32CC10" w14:textId="67E6A6F6" w:rsidR="003606D5" w:rsidRPr="00E760FB" w:rsidRDefault="00862E3E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39EF152F">
                <v:shape id="_x0000_i1028" type="#_x0000_t75" style="width:77.25pt;height:50.25pt" o:ole="">
                  <v:imagedata r:id="rId18" o:title=""/>
                </v:shape>
                <o:OLEObject Type="Embed" ProgID="Excel.Sheet.12" ShapeID="_x0000_i1028" DrawAspect="Icon" ObjectID="_1836381118" r:id="rId19"/>
              </w:object>
            </w:r>
          </w:p>
        </w:tc>
        <w:bookmarkStart w:id="42" w:name="_MON_1636982321"/>
        <w:bookmarkEnd w:id="42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9" type="#_x0000_t75" style="width:64.5pt;height:43.5pt" o:ole="">
                  <v:imagedata r:id="rId20" o:title=""/>
                </v:shape>
                <o:OLEObject Type="Embed" ProgID="Word.Document.12" ShapeID="_x0000_i1029" DrawAspect="Icon" ObjectID="_1836381119" r:id="rId21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3606D5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08D422" w14:textId="0A400D21" w:rsidR="00501A87" w:rsidRPr="00E760FB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3" w:name="_Hlk149577106"/>
      <w:bookmarkEnd w:id="40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8E2CA5" w:rsidRPr="00E02985">
        <w:rPr>
          <w:b/>
          <w:snapToGrid/>
          <w:color w:val="1802BE"/>
          <w:sz w:val="20"/>
          <w:szCs w:val="20"/>
          <w:highlight w:val="green"/>
        </w:rPr>
        <w:t>1</w:t>
      </w:r>
      <w:r w:rsidR="00E84D3C">
        <w:rPr>
          <w:b/>
          <w:snapToGrid/>
          <w:color w:val="1802BE"/>
          <w:sz w:val="20"/>
          <w:szCs w:val="20"/>
          <w:highlight w:val="green"/>
        </w:rPr>
        <w:t>0 апреля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</w:t>
      </w:r>
      <w:r w:rsidR="00E84D3C">
        <w:rPr>
          <w:b/>
          <w:snapToGrid/>
          <w:color w:val="1802BE"/>
          <w:sz w:val="20"/>
          <w:szCs w:val="20"/>
        </w:rPr>
        <w:br/>
      </w:r>
      <w:r w:rsidR="006C5936" w:rsidRPr="00E760FB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2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E760FB">
        <w:rPr>
          <w:b/>
          <w:snapToGrid/>
          <w:color w:val="1802BE"/>
          <w:sz w:val="20"/>
          <w:szCs w:val="20"/>
        </w:rPr>
        <w:t>.</w:t>
      </w:r>
    </w:p>
    <w:bookmarkEnd w:id="43"/>
    <w:p w14:paraId="1ABEE8A2" w14:textId="77777777" w:rsidR="00D04D78" w:rsidRPr="00E760FB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E760FB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E760FB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E760FB">
        <w:rPr>
          <w:b/>
          <w:sz w:val="20"/>
          <w:szCs w:val="20"/>
          <w:u w:val="single"/>
        </w:rPr>
        <w:t>Конкурса</w:t>
      </w:r>
      <w:r w:rsidRPr="00E760FB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794231985"/>
      <w:bookmarkEnd w:id="44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07ADFD68" w:rsidR="00D60F67" w:rsidRPr="00E760FB" w:rsidRDefault="00454116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30" type="#_x0000_t75" style="width:79.5pt;height:50.25pt" o:ole="">
                  <v:imagedata r:id="rId23" o:title=""/>
                </v:shape>
                <o:OLEObject Type="Embed" ProgID="Excel.Sheet.12" ShapeID="_x0000_i1030" DrawAspect="Icon" ObjectID="_1836381120" r:id="rId24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5" w:name="_Toc211764257"/>
      <w:r w:rsidRPr="00E760FB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5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7FBB523C" w14:textId="45EAEC2A" w:rsidR="00D60F67" w:rsidRDefault="00D60F67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Аффилированность с любым и</w:t>
      </w:r>
      <w:r w:rsidR="00FF0460" w:rsidRPr="003606D5">
        <w:rPr>
          <w:sz w:val="20"/>
          <w:szCs w:val="20"/>
        </w:rPr>
        <w:t xml:space="preserve">з участников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, как </w:t>
      </w:r>
      <w:r w:rsidR="00D27CA8" w:rsidRPr="003606D5">
        <w:rPr>
          <w:sz w:val="20"/>
          <w:szCs w:val="20"/>
        </w:rPr>
        <w:t>скрытая,</w:t>
      </w:r>
      <w:r w:rsidRPr="003606D5">
        <w:rPr>
          <w:sz w:val="20"/>
          <w:szCs w:val="20"/>
        </w:rPr>
        <w:t xml:space="preserve"> так и явная (при выявлении данного факта</w:t>
      </w:r>
      <w:r w:rsidR="00C722D2" w:rsidRPr="003606D5">
        <w:rPr>
          <w:sz w:val="20"/>
          <w:szCs w:val="20"/>
        </w:rPr>
        <w:t xml:space="preserve"> </w:t>
      </w:r>
      <w:r w:rsidRPr="003606D5">
        <w:rPr>
          <w:sz w:val="20"/>
          <w:szCs w:val="20"/>
        </w:rPr>
        <w:t xml:space="preserve">участник дисквалифицируется с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 на любом его этапе</w:t>
      </w:r>
      <w:r w:rsidR="00E10593" w:rsidRPr="003606D5">
        <w:rPr>
          <w:sz w:val="20"/>
          <w:szCs w:val="20"/>
        </w:rPr>
        <w:t>)</w:t>
      </w:r>
      <w:r w:rsidR="004B2F28" w:rsidRPr="003606D5">
        <w:rPr>
          <w:sz w:val="20"/>
          <w:szCs w:val="20"/>
        </w:rPr>
        <w:t>.</w:t>
      </w:r>
    </w:p>
    <w:p w14:paraId="5C2F9D8B" w14:textId="11E4C2B3" w:rsid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Наличие разрешения на размещение рекламы на фасадах зданий, указанных в ТЗ (</w:t>
      </w:r>
      <w:proofErr w:type="spellStart"/>
      <w:r w:rsidRPr="003606D5">
        <w:rPr>
          <w:sz w:val="20"/>
          <w:szCs w:val="20"/>
        </w:rPr>
        <w:t>led</w:t>
      </w:r>
      <w:proofErr w:type="spellEnd"/>
      <w:r w:rsidRPr="003606D5">
        <w:rPr>
          <w:sz w:val="20"/>
          <w:szCs w:val="20"/>
        </w:rPr>
        <w:t>-подсветка)</w:t>
      </w:r>
      <w:r>
        <w:rPr>
          <w:sz w:val="20"/>
          <w:szCs w:val="20"/>
        </w:rPr>
        <w:t>.</w:t>
      </w:r>
    </w:p>
    <w:p w14:paraId="02B4F7DE" w14:textId="4A8D62E2" w:rsidR="003606D5" w:rsidRP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Возможность предварительной проверки видеоизображения на лед-экране до запуска</w:t>
      </w:r>
      <w:r>
        <w:rPr>
          <w:sz w:val="20"/>
          <w:szCs w:val="20"/>
        </w:rPr>
        <w:t>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375268" w:rsidRPr="00E760FB">
        <w:rPr>
          <w:sz w:val="20"/>
          <w:szCs w:val="20"/>
        </w:rPr>
        <w:t>Конкурса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6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E760FB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7" w:name="_Toc290999596"/>
      <w:bookmarkEnd w:id="46"/>
      <w:r w:rsidRPr="00E760FB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="00D60F67" w:rsidRPr="00E760FB">
        <w:rPr>
          <w:b/>
          <w:bCs/>
          <w:sz w:val="20"/>
          <w:szCs w:val="20"/>
          <w:u w:val="single"/>
        </w:rPr>
        <w:t>документации</w:t>
      </w:r>
      <w:bookmarkEnd w:id="47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8" w:name="_Toc103860221"/>
      <w:bookmarkStart w:id="49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8"/>
      <w:bookmarkEnd w:id="49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Pr="00E760FB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0" w:name="_Toc103860222"/>
      <w:bookmarkStart w:id="51" w:name="_Toc290999598"/>
      <w:r w:rsidRPr="00E760FB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Pr="00E760FB">
        <w:rPr>
          <w:b/>
          <w:bCs/>
          <w:sz w:val="20"/>
          <w:szCs w:val="20"/>
          <w:u w:val="single"/>
        </w:rPr>
        <w:t xml:space="preserve">документации </w:t>
      </w:r>
      <w:bookmarkEnd w:id="50"/>
      <w:bookmarkEnd w:id="51"/>
      <w:r w:rsidR="00913C69" w:rsidRPr="00E760FB">
        <w:rPr>
          <w:b/>
          <w:bCs/>
          <w:sz w:val="20"/>
          <w:szCs w:val="20"/>
          <w:u w:val="single"/>
        </w:rPr>
        <w:t>ЕОПЦ</w:t>
      </w:r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E760FB">
        <w:rPr>
          <w:sz w:val="20"/>
          <w:szCs w:val="20"/>
        </w:rPr>
        <w:t>конкурсной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E760FB">
        <w:rPr>
          <w:sz w:val="20"/>
          <w:szCs w:val="20"/>
        </w:rPr>
        <w:t>Конкурсу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2" w:name="_Toc290999599"/>
      <w:r w:rsidRPr="00E760FB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2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3" w:name="_Toc211658906"/>
      <w:bookmarkStart w:id="54" w:name="_Toc211663252"/>
      <w:bookmarkStart w:id="55" w:name="_Toc211665795"/>
      <w:bookmarkStart w:id="56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E760F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7" w:name="_Toc290999600"/>
      <w:r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3"/>
      <w:bookmarkEnd w:id="54"/>
      <w:bookmarkEnd w:id="55"/>
      <w:bookmarkEnd w:id="56"/>
      <w:bookmarkEnd w:id="57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5"/>
      <w:footerReference w:type="default" r:id="rId26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BD23" w14:textId="77777777" w:rsidR="002D1D3D" w:rsidRDefault="002D1D3D">
      <w:r>
        <w:separator/>
      </w:r>
    </w:p>
  </w:endnote>
  <w:endnote w:type="continuationSeparator" w:id="0">
    <w:p w14:paraId="77944F16" w14:textId="77777777" w:rsidR="002D1D3D" w:rsidRDefault="002D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862B" w14:textId="77777777" w:rsidR="002D1D3D" w:rsidRDefault="002D1D3D">
      <w:r>
        <w:separator/>
      </w:r>
    </w:p>
  </w:footnote>
  <w:footnote w:type="continuationSeparator" w:id="0">
    <w:p w14:paraId="3DA1941E" w14:textId="77777777" w:rsidR="002D1D3D" w:rsidRDefault="002D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544C"/>
    <w:rsid w:val="002C6B45"/>
    <w:rsid w:val="002D045B"/>
    <w:rsid w:val="002D06F7"/>
    <w:rsid w:val="002D1D3D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116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2D9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013B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1A8A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2E3E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3BBE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1ECA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3E94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4D3C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4B3D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package" Target="embeddings/Microsoft_Excel_Worksheet4.xlsx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image" Target="media/image6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3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3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8745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19</cp:revision>
  <cp:lastPrinted>2012-10-16T11:07:00Z</cp:lastPrinted>
  <dcterms:created xsi:type="dcterms:W3CDTF">2026-02-27T04:24:00Z</dcterms:created>
  <dcterms:modified xsi:type="dcterms:W3CDTF">2026-03-30T08:05:00Z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